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13"/>
          <w:szCs w:val="13"/>
        </w:rPr>
      </w:pPr>
      <w:r w:rsidDel="00000000" w:rsidR="00000000" w:rsidRPr="00000000">
        <w:rPr>
          <w:sz w:val="13"/>
          <w:szCs w:val="13"/>
          <w:rtl w:val="0"/>
        </w:rPr>
        <w:t xml:space="preserve">Aluvial del Futuro S.A.</w:t>
      </w:r>
    </w:p>
    <w:p w:rsidR="00000000" w:rsidDel="00000000" w:rsidP="00000000" w:rsidRDefault="00000000" w:rsidRPr="00000000" w14:paraId="00000002">
      <w:pPr>
        <w:jc w:val="right"/>
        <w:rPr>
          <w:sz w:val="13"/>
          <w:szCs w:val="13"/>
        </w:rPr>
      </w:pPr>
      <w:r w:rsidDel="00000000" w:rsidR="00000000" w:rsidRPr="00000000">
        <w:rPr>
          <w:sz w:val="13"/>
          <w:szCs w:val="13"/>
          <w:rtl w:val="0"/>
        </w:rPr>
        <w:t xml:space="preserve">División Servicios Domésticos y Vinculares · Ref. ELM-01</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280" w:lineRule="auto"/>
        <w:rPr>
          <w:sz w:val="14"/>
          <w:szCs w:val="14"/>
        </w:rPr>
      </w:pPr>
      <w:r w:rsidDel="00000000" w:rsidR="00000000" w:rsidRPr="00000000">
        <w:rPr>
          <w:sz w:val="14"/>
          <w:szCs w:val="14"/>
          <w:rtl w:val="0"/>
        </w:rPr>
        <w:t xml:space="preserve">Un producto conforme a especificación</w:t>
      </w:r>
    </w:p>
    <w:p w:rsidR="00000000" w:rsidDel="00000000" w:rsidP="00000000" w:rsidRDefault="00000000" w:rsidRPr="00000000" w14:paraId="00000005">
      <w:pPr>
        <w:pStyle w:val="Heading1"/>
        <w:keepNext w:val="0"/>
        <w:keepLines w:val="0"/>
        <w:spacing w:after="0" w:before="0" w:line="235.2" w:lineRule="auto"/>
        <w:rPr>
          <w:sz w:val="46"/>
          <w:szCs w:val="46"/>
          <w:vertAlign w:val="superscript"/>
        </w:rPr>
      </w:pPr>
      <w:bookmarkStart w:colFirst="0" w:colLast="0" w:name="_kukecah4ymig" w:id="0"/>
      <w:bookmarkEnd w:id="0"/>
      <w:r w:rsidDel="00000000" w:rsidR="00000000" w:rsidRPr="00000000">
        <w:rPr>
          <w:b w:val="1"/>
          <w:bCs w:val="1"/>
          <w:sz w:val="69"/>
          <w:szCs w:val="69"/>
          <w:rtl w:val="0"/>
        </w:rPr>
        <w:t xml:space="preserve">Esposa a la Medida</w:t>
      </w:r>
      <w:r w:rsidDel="00000000" w:rsidR="00000000" w:rsidRPr="00000000">
        <w:rPr>
          <w:sz w:val="46"/>
          <w:szCs w:val="46"/>
          <w:vertAlign w:val="superscript"/>
          <w:rtl w:val="0"/>
        </w:rPr>
        <w:t xml:space="preserve">®</w:t>
      </w:r>
    </w:p>
    <w:p w:rsidR="00000000" w:rsidDel="00000000" w:rsidP="00000000" w:rsidRDefault="00000000" w:rsidRPr="00000000" w14:paraId="00000006">
      <w:pPr>
        <w:spacing w:before="280" w:lineRule="auto"/>
        <w:rPr>
          <w:sz w:val="18"/>
          <w:szCs w:val="18"/>
        </w:rPr>
      </w:pPr>
      <w:r w:rsidDel="00000000" w:rsidR="00000000" w:rsidRPr="00000000">
        <w:rPr>
          <w:sz w:val="18"/>
          <w:szCs w:val="18"/>
          <w:rtl w:val="0"/>
        </w:rPr>
        <w:t xml:space="preserve">El vínculo, ajustado a norma. Cada cláusula, verificable. Ninguna, negociable después de la firma.</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Bdr>
          <w:left w:color="000000" w:space="4" w:sz="4" w:val="single"/>
        </w:pBdr>
        <w:spacing w:before="400" w:line="360" w:lineRule="auto"/>
        <w:rPr>
          <w:sz w:val="14"/>
          <w:szCs w:val="14"/>
        </w:rPr>
      </w:pPr>
      <w:r w:rsidDel="00000000" w:rsidR="00000000" w:rsidRPr="00000000">
        <w:rPr>
          <w:sz w:val="14"/>
          <w:szCs w:val="14"/>
          <w:rtl w:val="0"/>
        </w:rPr>
        <w:t xml:space="preserve">El instrumento no es nuevo. La literatura profesional recomienda, desde hace décadas, documentos «legalmente sólidos y equitativos» que protejan al titular y a su cónyuge «just in case» — publicado, revisado por pares, en una revista dedicada a la gestión de los cuerpos animales.</w:t>
      </w:r>
    </w:p>
    <w:p w:rsidR="00000000" w:rsidDel="00000000" w:rsidP="00000000" w:rsidRDefault="00000000" w:rsidRPr="00000000" w14:paraId="00000009">
      <w:pPr>
        <w:pBdr>
          <w:left w:color="000000" w:space="4" w:sz="4" w:val="single"/>
        </w:pBdr>
        <w:spacing w:before="440" w:line="360" w:lineRule="auto"/>
        <w:rPr>
          <w:sz w:val="12"/>
          <w:szCs w:val="12"/>
        </w:rPr>
      </w:pPr>
      <w:r w:rsidDel="00000000" w:rsidR="00000000" w:rsidRPr="00000000">
        <w:rPr>
          <w:sz w:val="12"/>
          <w:szCs w:val="12"/>
          <w:rtl w:val="0"/>
        </w:rPr>
        <w:t xml:space="preserve">Can. Vet. J. 44 (enero 2003), «Affairs of the heart — Marriage contracts for professionals»</w:t>
      </w:r>
    </w:p>
    <w:tbl>
      <w:tblPr>
        <w:tblStyle w:val="Table1"/>
        <w:tblW w:w="9360.0" w:type="dxa"/>
        <w:jc w:val="left"/>
        <w:tblLayout w:type="fixed"/>
        <w:tblLook w:val="0600"/>
      </w:tblPr>
      <w:tblGrid>
        <w:gridCol w:w="1369.0746268656717"/>
        <w:gridCol w:w="1997.731343283582"/>
        <w:gridCol w:w="1997.731343283582"/>
        <w:gridCol w:w="1997.731343283582"/>
        <w:gridCol w:w="1997.731343283582"/>
        <w:tblGridChange w:id="0">
          <w:tblGrid>
            <w:gridCol w:w="1369.0746268656717"/>
            <w:gridCol w:w="1997.731343283582"/>
            <w:gridCol w:w="1997.731343283582"/>
            <w:gridCol w:w="1997.731343283582"/>
            <w:gridCol w:w="1997.731343283582"/>
          </w:tblGrid>
        </w:tblGridChange>
      </w:tblGrid>
      <w:tr>
        <w:trPr>
          <w:cantSplit w:val="0"/>
          <w:trHeight w:val="735" w:hRule="atLeast"/>
          <w:tblHeader w:val="0"/>
        </w:trPr>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0A">
            <w:pPr>
              <w:spacing w:before="180" w:lineRule="auto"/>
              <w:rPr>
                <w:sz w:val="24"/>
                <w:szCs w:val="24"/>
              </w:rPr>
            </w:pP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0B">
            <w:pPr>
              <w:spacing w:before="180" w:lineRule="auto"/>
              <w:rPr>
                <w:b w:val="1"/>
                <w:bCs w:val="1"/>
                <w:sz w:val="13"/>
                <w:szCs w:val="13"/>
              </w:rPr>
            </w:pPr>
            <w:r w:rsidDel="00000000" w:rsidR="00000000" w:rsidRPr="00000000">
              <w:rPr>
                <w:b w:val="1"/>
                <w:bCs w:val="1"/>
                <w:sz w:val="13"/>
                <w:szCs w:val="13"/>
                <w:rtl w:val="0"/>
              </w:rPr>
              <w:t xml:space="preserve">Encomienda</w:t>
            </w:r>
          </w:p>
          <w:p w:rsidR="00000000" w:rsidDel="00000000" w:rsidP="00000000" w:rsidRDefault="00000000" w:rsidRPr="00000000" w14:paraId="0000000C">
            <w:pPr>
              <w:spacing w:before="200" w:lineRule="auto"/>
              <w:rPr>
                <w:sz w:val="13"/>
                <w:szCs w:val="13"/>
              </w:rPr>
            </w:pPr>
            <w:r w:rsidDel="00000000" w:rsidR="00000000" w:rsidRPr="00000000">
              <w:rPr>
                <w:sz w:val="13"/>
                <w:szCs w:val="13"/>
                <w:rtl w:val="0"/>
              </w:rPr>
              <w:t xml:space="preserve">Asunción, 1722</w:t>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0D">
            <w:pPr>
              <w:spacing w:before="180" w:lineRule="auto"/>
              <w:rPr>
                <w:b w:val="1"/>
                <w:bCs w:val="1"/>
                <w:sz w:val="13"/>
                <w:szCs w:val="13"/>
              </w:rPr>
            </w:pPr>
            <w:r w:rsidDel="00000000" w:rsidR="00000000" w:rsidRPr="00000000">
              <w:rPr>
                <w:b w:val="1"/>
                <w:bCs w:val="1"/>
                <w:sz w:val="13"/>
                <w:szCs w:val="13"/>
                <w:rtl w:val="0"/>
              </w:rPr>
              <w:t xml:space="preserve">Prenup</w:t>
            </w:r>
          </w:p>
          <w:p w:rsidR="00000000" w:rsidDel="00000000" w:rsidP="00000000" w:rsidRDefault="00000000" w:rsidRPr="00000000" w14:paraId="0000000E">
            <w:pPr>
              <w:spacing w:before="200" w:lineRule="auto"/>
              <w:rPr>
                <w:sz w:val="13"/>
                <w:szCs w:val="13"/>
              </w:rPr>
            </w:pPr>
            <w:r w:rsidDel="00000000" w:rsidR="00000000" w:rsidRPr="00000000">
              <w:rPr>
                <w:sz w:val="13"/>
                <w:szCs w:val="13"/>
                <w:rtl w:val="0"/>
              </w:rPr>
              <w:t xml:space="preserve">Alta renta, 2025</w:t>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0F">
            <w:pPr>
              <w:spacing w:before="180" w:lineRule="auto"/>
              <w:rPr>
                <w:b w:val="1"/>
                <w:bCs w:val="1"/>
                <w:sz w:val="13"/>
                <w:szCs w:val="13"/>
              </w:rPr>
            </w:pPr>
            <w:r w:rsidDel="00000000" w:rsidR="00000000" w:rsidRPr="00000000">
              <w:rPr>
                <w:b w:val="1"/>
                <w:bCs w:val="1"/>
                <w:sz w:val="13"/>
                <w:szCs w:val="13"/>
                <w:rtl w:val="0"/>
              </w:rPr>
              <w:t xml:space="preserve">Criadazgo</w:t>
            </w:r>
          </w:p>
          <w:p w:rsidR="00000000" w:rsidDel="00000000" w:rsidP="00000000" w:rsidRDefault="00000000" w:rsidRPr="00000000" w14:paraId="00000010">
            <w:pPr>
              <w:spacing w:before="200" w:lineRule="auto"/>
              <w:rPr>
                <w:sz w:val="13"/>
                <w:szCs w:val="13"/>
              </w:rPr>
            </w:pPr>
            <w:r w:rsidDel="00000000" w:rsidR="00000000" w:rsidRPr="00000000">
              <w:rPr>
                <w:sz w:val="13"/>
                <w:szCs w:val="13"/>
                <w:rtl w:val="0"/>
              </w:rPr>
              <w:t xml:space="preserve">s. XX–XXI</w:t>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11">
            <w:pPr>
              <w:spacing w:before="180" w:lineRule="auto"/>
              <w:rPr>
                <w:b w:val="1"/>
                <w:bCs w:val="1"/>
                <w:sz w:val="13"/>
                <w:szCs w:val="13"/>
              </w:rPr>
            </w:pPr>
            <w:r w:rsidDel="00000000" w:rsidR="00000000" w:rsidRPr="00000000">
              <w:rPr>
                <w:b w:val="1"/>
                <w:bCs w:val="1"/>
                <w:sz w:val="13"/>
                <w:szCs w:val="13"/>
                <w:rtl w:val="0"/>
              </w:rPr>
              <w:t xml:space="preserve">Concubina</w:t>
            </w:r>
          </w:p>
          <w:p w:rsidR="00000000" w:rsidDel="00000000" w:rsidP="00000000" w:rsidRDefault="00000000" w:rsidRPr="00000000" w14:paraId="00000012">
            <w:pPr>
              <w:spacing w:before="200" w:lineRule="auto"/>
              <w:rPr>
                <w:sz w:val="13"/>
                <w:szCs w:val="13"/>
              </w:rPr>
            </w:pPr>
            <w:r w:rsidDel="00000000" w:rsidR="00000000" w:rsidRPr="00000000">
              <w:rPr>
                <w:rFonts w:ascii="Arial Unicode MS" w:cs="Arial Unicode MS" w:eastAsia="Arial Unicode MS" w:hAnsi="Arial Unicode MS"/>
                <w:sz w:val="13"/>
                <w:szCs w:val="13"/>
                <w:rtl w:val="0"/>
              </w:rPr>
              <w:t xml:space="preserve">妾 · unión clásica</w:t>
            </w:r>
          </w:p>
        </w:tc>
      </w:tr>
      <w:tr>
        <w:trPr>
          <w:cantSplit w:val="0"/>
          <w:trHeight w:val="1410" w:hRule="atLeast"/>
          <w:tblHeader w:val="0"/>
        </w:trPr>
        <w:tc>
          <w:tcPr>
            <w:tcBorders>
              <w:top w:color="000000" w:space="0" w:sz="2" w:val="single"/>
              <w:left w:color="000000" w:space="0" w:sz="2" w:val="single"/>
              <w:bottom w:color="000000" w:space="0" w:sz="2" w:val="single"/>
              <w:right w:color="000000" w:space="0" w:sz="2" w:val="single"/>
            </w:tcBorders>
            <w:shd w:fill="000000" w:val="clear"/>
            <w:tcMar>
              <w:top w:w="60.0" w:type="dxa"/>
              <w:left w:w="60.0" w:type="dxa"/>
              <w:bottom w:w="60.0" w:type="dxa"/>
              <w:right w:w="60.0" w:type="dxa"/>
            </w:tcMar>
            <w:vAlign w:val="top"/>
          </w:tcPr>
          <w:p w:rsidR="00000000" w:rsidDel="00000000" w:rsidP="00000000" w:rsidRDefault="00000000" w:rsidRPr="00000000" w14:paraId="00000013">
            <w:pPr>
              <w:spacing w:before="180" w:lineRule="auto"/>
              <w:rPr>
                <w:b w:val="1"/>
                <w:bCs w:val="1"/>
                <w:color w:val="ffffff"/>
                <w:sz w:val="12"/>
                <w:szCs w:val="12"/>
              </w:rPr>
            </w:pPr>
            <w:r w:rsidDel="00000000" w:rsidR="00000000" w:rsidRPr="00000000">
              <w:rPr>
                <w:b w:val="1"/>
                <w:bCs w:val="1"/>
                <w:color w:val="ffffff"/>
                <w:sz w:val="12"/>
                <w:szCs w:val="12"/>
                <w:rtl w:val="0"/>
              </w:rPr>
              <w:t xml:space="preserve">I. Objeto</w:t>
            </w:r>
          </w:p>
          <w:p w:rsidR="00000000" w:rsidDel="00000000" w:rsidP="00000000" w:rsidRDefault="00000000" w:rsidRPr="00000000" w14:paraId="00000014">
            <w:pPr>
              <w:spacing w:before="180" w:lineRule="auto"/>
              <w:rPr>
                <w:sz w:val="24"/>
                <w:szCs w:val="24"/>
              </w:rPr>
            </w:pPr>
            <w:r w:rsidDel="00000000" w:rsidR="00000000" w:rsidRPr="00000000">
              <w:rPr>
                <w:b w:val="1"/>
                <w:bCs w:val="1"/>
                <w:color w:val="ffffff"/>
                <w:sz w:val="12"/>
                <w:szCs w:val="12"/>
                <w:rtl w:val="0"/>
              </w:rPr>
              <w:t xml:space="preserve">del contrato</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15">
            <w:pPr>
              <w:spacing w:before="180" w:line="340.79999999999995" w:lineRule="auto"/>
              <w:rPr>
                <w:sz w:val="13"/>
                <w:szCs w:val="13"/>
              </w:rPr>
            </w:pPr>
            <w:r w:rsidDel="00000000" w:rsidR="00000000" w:rsidRPr="00000000">
              <w:rPr>
                <w:sz w:val="13"/>
                <w:szCs w:val="13"/>
                <w:rtl w:val="0"/>
              </w:rPr>
              <w:t xml:space="preserve">La persona entregada «en depósito», con su descendencia, para servicio.</w:t>
            </w:r>
          </w:p>
          <w:p w:rsidR="00000000" w:rsidDel="00000000" w:rsidP="00000000" w:rsidRDefault="00000000" w:rsidRPr="00000000" w14:paraId="00000016">
            <w:pPr>
              <w:spacing w:before="220" w:line="340.79999999999995" w:lineRule="auto"/>
              <w:rPr>
                <w:sz w:val="10"/>
                <w:szCs w:val="10"/>
              </w:rPr>
            </w:pPr>
            <w:r w:rsidDel="00000000" w:rsidR="00000000" w:rsidRPr="00000000">
              <w:rPr>
                <w:sz w:val="10"/>
                <w:szCs w:val="10"/>
                <w:rtl w:val="0"/>
              </w:rPr>
              <w:t xml:space="preserve">Fuente: ANA, Sec. Civil y Judicial</w:t>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17">
            <w:pPr>
              <w:spacing w:before="180" w:line="340.79999999999995" w:lineRule="auto"/>
              <w:rPr>
                <w:sz w:val="13"/>
                <w:szCs w:val="13"/>
              </w:rPr>
            </w:pPr>
            <w:r w:rsidDel="00000000" w:rsidR="00000000" w:rsidRPr="00000000">
              <w:rPr>
                <w:sz w:val="13"/>
                <w:szCs w:val="13"/>
                <w:rtl w:val="0"/>
              </w:rPr>
              <w:t xml:space="preserve">El cónyuge, en calidad de parte cuya conducta se regula mientras dure la unión.</w:t>
            </w:r>
          </w:p>
          <w:p w:rsidR="00000000" w:rsidDel="00000000" w:rsidP="00000000" w:rsidRDefault="00000000" w:rsidRPr="00000000" w14:paraId="00000018">
            <w:pPr>
              <w:spacing w:before="220" w:line="340.79999999999995" w:lineRule="auto"/>
              <w:rPr>
                <w:sz w:val="10"/>
                <w:szCs w:val="10"/>
              </w:rPr>
            </w:pPr>
            <w:r w:rsidDel="00000000" w:rsidR="00000000" w:rsidRPr="00000000">
              <w:rPr>
                <w:sz w:val="10"/>
                <w:szCs w:val="10"/>
                <w:rtl w:val="0"/>
              </w:rPr>
              <w:t xml:space="preserve">Cláusulas de estilo de vida, documentadas</w:t>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19">
            <w:pPr>
              <w:spacing w:before="180" w:line="340.79999999999995" w:lineRule="auto"/>
              <w:rPr>
                <w:sz w:val="13"/>
                <w:szCs w:val="13"/>
              </w:rPr>
            </w:pPr>
            <w:r w:rsidDel="00000000" w:rsidR="00000000" w:rsidRPr="00000000">
              <w:rPr>
                <w:sz w:val="13"/>
                <w:szCs w:val="13"/>
                <w:rtl w:val="0"/>
              </w:rPr>
              <w:t xml:space="preserve">La criatura recibida «de favor», a cambio de techo, para las tareas de la casa.</w:t>
            </w:r>
          </w:p>
          <w:p w:rsidR="00000000" w:rsidDel="00000000" w:rsidP="00000000" w:rsidRDefault="00000000" w:rsidRPr="00000000" w14:paraId="0000001A">
            <w:pPr>
              <w:spacing w:before="220" w:line="340.79999999999995" w:lineRule="auto"/>
              <w:rPr>
                <w:sz w:val="10"/>
                <w:szCs w:val="10"/>
              </w:rPr>
            </w:pPr>
            <w:r w:rsidDel="00000000" w:rsidR="00000000" w:rsidRPr="00000000">
              <w:rPr>
                <w:sz w:val="10"/>
                <w:szCs w:val="10"/>
                <w:rtl w:val="0"/>
              </w:rPr>
              <w:t xml:space="preserve">Dossier criadazgo</w:t>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1B">
            <w:pPr>
              <w:spacing w:before="180" w:line="340.79999999999995" w:lineRule="auto"/>
              <w:rPr>
                <w:sz w:val="13"/>
                <w:szCs w:val="13"/>
              </w:rPr>
            </w:pPr>
            <w:r w:rsidDel="00000000" w:rsidR="00000000" w:rsidRPr="00000000">
              <w:rPr>
                <w:rFonts w:ascii="Arial Unicode MS" w:cs="Arial Unicode MS" w:eastAsia="Arial Unicode MS" w:hAnsi="Arial Unicode MS"/>
                <w:sz w:val="13"/>
                <w:szCs w:val="13"/>
                <w:rtl w:val="0"/>
              </w:rPr>
              <w:t xml:space="preserve">La segunda, sumada al hogar por acuerdo entre familias «de puertas parejas» (门当户对).</w:t>
            </w:r>
          </w:p>
          <w:p w:rsidR="00000000" w:rsidDel="00000000" w:rsidP="00000000" w:rsidRDefault="00000000" w:rsidRPr="00000000" w14:paraId="0000001C">
            <w:pPr>
              <w:spacing w:before="220" w:line="340.79999999999995" w:lineRule="auto"/>
              <w:rPr>
                <w:sz w:val="10"/>
                <w:szCs w:val="10"/>
              </w:rPr>
            </w:pPr>
            <w:r w:rsidDel="00000000" w:rsidR="00000000" w:rsidRPr="00000000">
              <w:rPr>
                <w:sz w:val="10"/>
                <w:szCs w:val="10"/>
                <w:rtl w:val="0"/>
              </w:rPr>
              <w:t xml:space="preserve">Reconstrucción · fuente por confirmar</w:t>
            </w:r>
          </w:p>
        </w:tc>
      </w:tr>
      <w:tr>
        <w:trPr>
          <w:cantSplit w:val="0"/>
          <w:trHeight w:val="915" w:hRule="atLeast"/>
          <w:tblHeader w:val="0"/>
        </w:trPr>
        <w:tc>
          <w:tcPr>
            <w:tcBorders>
              <w:top w:color="000000" w:space="0" w:sz="2" w:val="single"/>
              <w:left w:color="000000" w:space="0" w:sz="2" w:val="single"/>
              <w:bottom w:color="000000" w:space="0" w:sz="2" w:val="single"/>
              <w:right w:color="000000" w:space="0" w:sz="2" w:val="single"/>
            </w:tcBorders>
            <w:shd w:fill="000000" w:val="clear"/>
            <w:tcMar>
              <w:top w:w="60.0" w:type="dxa"/>
              <w:left w:w="60.0" w:type="dxa"/>
              <w:bottom w:w="60.0" w:type="dxa"/>
              <w:right w:w="60.0" w:type="dxa"/>
            </w:tcMar>
            <w:vAlign w:val="top"/>
          </w:tcPr>
          <w:p w:rsidR="00000000" w:rsidDel="00000000" w:rsidP="00000000" w:rsidRDefault="00000000" w:rsidRPr="00000000" w14:paraId="0000001D">
            <w:pPr>
              <w:spacing w:before="180" w:lineRule="auto"/>
              <w:rPr>
                <w:b w:val="1"/>
                <w:bCs w:val="1"/>
                <w:color w:val="ffffff"/>
                <w:sz w:val="12"/>
                <w:szCs w:val="12"/>
              </w:rPr>
            </w:pPr>
            <w:r w:rsidDel="00000000" w:rsidR="00000000" w:rsidRPr="00000000">
              <w:rPr>
                <w:b w:val="1"/>
                <w:bCs w:val="1"/>
                <w:color w:val="ffffff"/>
                <w:sz w:val="12"/>
                <w:szCs w:val="12"/>
                <w:rtl w:val="0"/>
              </w:rPr>
              <w:t xml:space="preserve">II. Contra-</w:t>
            </w:r>
          </w:p>
          <w:p w:rsidR="00000000" w:rsidDel="00000000" w:rsidP="00000000" w:rsidRDefault="00000000" w:rsidRPr="00000000" w14:paraId="0000001E">
            <w:pPr>
              <w:spacing w:before="180" w:lineRule="auto"/>
              <w:rPr>
                <w:sz w:val="24"/>
                <w:szCs w:val="24"/>
              </w:rPr>
            </w:pPr>
            <w:r w:rsidDel="00000000" w:rsidR="00000000" w:rsidRPr="00000000">
              <w:rPr>
                <w:b w:val="1"/>
                <w:bCs w:val="1"/>
                <w:color w:val="ffffff"/>
                <w:sz w:val="12"/>
                <w:szCs w:val="12"/>
                <w:rtl w:val="0"/>
              </w:rPr>
              <w:t xml:space="preserve">prestación</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1F">
            <w:pPr>
              <w:spacing w:before="180" w:line="340.79999999999995" w:lineRule="auto"/>
              <w:rPr>
                <w:sz w:val="24"/>
                <w:szCs w:val="24"/>
              </w:rPr>
            </w:pPr>
            <w:r w:rsidDel="00000000" w:rsidR="00000000" w:rsidRPr="00000000">
              <w:rPr>
                <w:sz w:val="13"/>
                <w:szCs w:val="13"/>
                <w:rtl w:val="0"/>
              </w:rPr>
              <w:t xml:space="preserve">Evangelización y amparo, declarados. Tributo y trabajo, exigidos.</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0">
            <w:pPr>
              <w:spacing w:before="180" w:line="340.79999999999995" w:lineRule="auto"/>
              <w:rPr>
                <w:sz w:val="24"/>
                <w:szCs w:val="24"/>
              </w:rPr>
            </w:pPr>
            <w:r w:rsidDel="00000000" w:rsidR="00000000" w:rsidRPr="00000000">
              <w:rPr>
                <w:sz w:val="13"/>
                <w:szCs w:val="13"/>
                <w:rtl w:val="0"/>
              </w:rPr>
              <w:t xml:space="preserve">Manutención según nivel de vida. Pagos por aniversario que premian la permanencia.</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1">
            <w:pPr>
              <w:spacing w:before="180" w:line="340.79999999999995" w:lineRule="auto"/>
              <w:rPr>
                <w:sz w:val="24"/>
                <w:szCs w:val="24"/>
              </w:rPr>
            </w:pPr>
            <w:r w:rsidDel="00000000" w:rsidR="00000000" w:rsidRPr="00000000">
              <w:rPr>
                <w:sz w:val="13"/>
                <w:szCs w:val="13"/>
                <w:rtl w:val="0"/>
              </w:rPr>
              <w:t xml:space="preserve">Alojamiento y comida. Salario, no.</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2">
            <w:pPr>
              <w:spacing w:before="180" w:line="340.79999999999995" w:lineRule="auto"/>
              <w:rPr>
                <w:sz w:val="24"/>
                <w:szCs w:val="24"/>
              </w:rPr>
            </w:pPr>
            <w:r w:rsidDel="00000000" w:rsidR="00000000" w:rsidRPr="00000000">
              <w:rPr>
                <w:sz w:val="13"/>
                <w:szCs w:val="13"/>
                <w:rtl w:val="0"/>
              </w:rPr>
              <w:t xml:space="preserve">Dote y posición. Herencia, limitada.</w:t>
            </w:r>
            <w:r w:rsidDel="00000000" w:rsidR="00000000" w:rsidRPr="00000000">
              <w:rPr>
                <w:rtl w:val="0"/>
              </w:rPr>
            </w:r>
          </w:p>
        </w:tc>
      </w:tr>
      <w:tr>
        <w:trPr>
          <w:cantSplit w:val="0"/>
          <w:trHeight w:val="915" w:hRule="atLeast"/>
          <w:tblHeader w:val="0"/>
        </w:trPr>
        <w:tc>
          <w:tcPr>
            <w:tcBorders>
              <w:top w:color="000000" w:space="0" w:sz="2" w:val="single"/>
              <w:left w:color="000000" w:space="0" w:sz="2" w:val="single"/>
              <w:bottom w:color="000000" w:space="0" w:sz="2" w:val="single"/>
              <w:right w:color="000000" w:space="0" w:sz="2" w:val="single"/>
            </w:tcBorders>
            <w:shd w:fill="000000" w:val="clear"/>
            <w:tcMar>
              <w:top w:w="60.0" w:type="dxa"/>
              <w:left w:w="60.0" w:type="dxa"/>
              <w:bottom w:w="60.0" w:type="dxa"/>
              <w:right w:w="60.0" w:type="dxa"/>
            </w:tcMar>
            <w:vAlign w:val="top"/>
          </w:tcPr>
          <w:p w:rsidR="00000000" w:rsidDel="00000000" w:rsidP="00000000" w:rsidRDefault="00000000" w:rsidRPr="00000000" w14:paraId="00000023">
            <w:pPr>
              <w:spacing w:before="180" w:lineRule="auto"/>
              <w:rPr>
                <w:b w:val="1"/>
                <w:bCs w:val="1"/>
                <w:color w:val="ffffff"/>
                <w:sz w:val="12"/>
                <w:szCs w:val="12"/>
              </w:rPr>
            </w:pPr>
            <w:r w:rsidDel="00000000" w:rsidR="00000000" w:rsidRPr="00000000">
              <w:rPr>
                <w:b w:val="1"/>
                <w:bCs w:val="1"/>
                <w:color w:val="ffffff"/>
                <w:sz w:val="12"/>
                <w:szCs w:val="12"/>
                <w:rtl w:val="0"/>
              </w:rPr>
              <w:t xml:space="preserve">III. Obligaciones</w:t>
            </w:r>
          </w:p>
          <w:p w:rsidR="00000000" w:rsidDel="00000000" w:rsidP="00000000" w:rsidRDefault="00000000" w:rsidRPr="00000000" w14:paraId="00000024">
            <w:pPr>
              <w:spacing w:before="180" w:lineRule="auto"/>
              <w:rPr>
                <w:sz w:val="24"/>
                <w:szCs w:val="24"/>
              </w:rPr>
            </w:pPr>
            <w:r w:rsidDel="00000000" w:rsidR="00000000" w:rsidRPr="00000000">
              <w:rPr>
                <w:b w:val="1"/>
                <w:bCs w:val="1"/>
                <w:color w:val="ffffff"/>
                <w:sz w:val="12"/>
                <w:szCs w:val="12"/>
                <w:rtl w:val="0"/>
              </w:rPr>
              <w:t xml:space="preserve">de conducta</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5">
            <w:pPr>
              <w:spacing w:before="180" w:line="340.79999999999995" w:lineRule="auto"/>
              <w:rPr>
                <w:sz w:val="24"/>
                <w:szCs w:val="24"/>
              </w:rPr>
            </w:pPr>
            <w:r w:rsidDel="00000000" w:rsidR="00000000" w:rsidRPr="00000000">
              <w:rPr>
                <w:sz w:val="13"/>
                <w:szCs w:val="13"/>
                <w:rtl w:val="0"/>
              </w:rPr>
              <w:t xml:space="preserve">Obediencia. Residencia fijada. Reducción.</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6">
            <w:pPr>
              <w:spacing w:before="180" w:line="340.79999999999995" w:lineRule="auto"/>
              <w:rPr>
                <w:sz w:val="24"/>
                <w:szCs w:val="24"/>
              </w:rPr>
            </w:pPr>
            <w:r w:rsidDel="00000000" w:rsidR="00000000" w:rsidRPr="00000000">
              <w:rPr>
                <w:sz w:val="13"/>
                <w:szCs w:val="13"/>
                <w:rtl w:val="0"/>
              </w:rPr>
              <w:t xml:space="preserve">Peso máximo. Nada del matrimonio en Instagram. Frecuencia pactada.</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7">
            <w:pPr>
              <w:spacing w:before="180" w:line="340.79999999999995" w:lineRule="auto"/>
              <w:rPr>
                <w:sz w:val="24"/>
                <w:szCs w:val="24"/>
              </w:rPr>
            </w:pPr>
            <w:r w:rsidDel="00000000" w:rsidR="00000000" w:rsidRPr="00000000">
              <w:rPr>
                <w:sz w:val="13"/>
                <w:szCs w:val="13"/>
                <w:rtl w:val="0"/>
              </w:rPr>
              <w:t xml:space="preserve">Disponibilidad total. Discreción. Gratitud.</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8">
            <w:pPr>
              <w:spacing w:before="180" w:line="340.79999999999995" w:lineRule="auto"/>
              <w:rPr>
                <w:sz w:val="24"/>
                <w:szCs w:val="24"/>
              </w:rPr>
            </w:pPr>
            <w:r w:rsidDel="00000000" w:rsidR="00000000" w:rsidRPr="00000000">
              <w:rPr>
                <w:sz w:val="13"/>
                <w:szCs w:val="13"/>
                <w:rtl w:val="0"/>
              </w:rPr>
              <w:t xml:space="preserve">Sumisión a la primera esposa. Fertilidad. Decoro.</w:t>
            </w:r>
            <w:r w:rsidDel="00000000" w:rsidR="00000000" w:rsidRPr="00000000">
              <w:rPr>
                <w:rtl w:val="0"/>
              </w:rPr>
            </w:r>
          </w:p>
        </w:tc>
      </w:tr>
      <w:tr>
        <w:trPr>
          <w:cantSplit w:val="0"/>
          <w:trHeight w:val="1095" w:hRule="atLeast"/>
          <w:tblHeader w:val="0"/>
        </w:trPr>
        <w:tc>
          <w:tcPr>
            <w:tcBorders>
              <w:top w:color="000000" w:space="0" w:sz="2" w:val="single"/>
              <w:left w:color="000000" w:space="0" w:sz="2" w:val="single"/>
              <w:bottom w:color="000000" w:space="0" w:sz="2" w:val="single"/>
              <w:right w:color="000000" w:space="0" w:sz="2" w:val="single"/>
            </w:tcBorders>
            <w:shd w:fill="000000" w:val="clear"/>
            <w:tcMar>
              <w:top w:w="60.0" w:type="dxa"/>
              <w:left w:w="60.0" w:type="dxa"/>
              <w:bottom w:w="60.0" w:type="dxa"/>
              <w:right w:w="60.0" w:type="dxa"/>
            </w:tcMar>
            <w:vAlign w:val="top"/>
          </w:tcPr>
          <w:p w:rsidR="00000000" w:rsidDel="00000000" w:rsidP="00000000" w:rsidRDefault="00000000" w:rsidRPr="00000000" w14:paraId="00000029">
            <w:pPr>
              <w:spacing w:before="180" w:lineRule="auto"/>
              <w:rPr>
                <w:b w:val="1"/>
                <w:bCs w:val="1"/>
                <w:color w:val="ffffff"/>
                <w:sz w:val="12"/>
                <w:szCs w:val="12"/>
              </w:rPr>
            </w:pPr>
            <w:r w:rsidDel="00000000" w:rsidR="00000000" w:rsidRPr="00000000">
              <w:rPr>
                <w:b w:val="1"/>
                <w:bCs w:val="1"/>
                <w:color w:val="ffffff"/>
                <w:sz w:val="12"/>
                <w:szCs w:val="12"/>
                <w:rtl w:val="0"/>
              </w:rPr>
              <w:t xml:space="preserve">IV. Divulgación</w:t>
            </w:r>
          </w:p>
          <w:p w:rsidR="00000000" w:rsidDel="00000000" w:rsidP="00000000" w:rsidRDefault="00000000" w:rsidRPr="00000000" w14:paraId="0000002A">
            <w:pPr>
              <w:spacing w:before="180" w:lineRule="auto"/>
              <w:rPr>
                <w:sz w:val="24"/>
                <w:szCs w:val="24"/>
              </w:rPr>
            </w:pPr>
            <w:r w:rsidDel="00000000" w:rsidR="00000000" w:rsidRPr="00000000">
              <w:rPr>
                <w:b w:val="1"/>
                <w:bCs w:val="1"/>
                <w:color w:val="ffffff"/>
                <w:sz w:val="12"/>
                <w:szCs w:val="12"/>
                <w:rtl w:val="0"/>
              </w:rPr>
              <w:t xml:space="preserve">e inventario</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B">
            <w:pPr>
              <w:spacing w:before="180" w:line="340.79999999999995" w:lineRule="auto"/>
              <w:rPr>
                <w:sz w:val="24"/>
                <w:szCs w:val="24"/>
              </w:rPr>
            </w:pPr>
            <w:r w:rsidDel="00000000" w:rsidR="00000000" w:rsidRPr="00000000">
              <w:rPr>
                <w:sz w:val="13"/>
                <w:szCs w:val="13"/>
                <w:rtl w:val="0"/>
              </w:rPr>
              <w:t xml:space="preserve">Empadronamiento. La persona asentada en el registro como bien.</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C">
            <w:pPr>
              <w:spacing w:before="180" w:line="340.79999999999995" w:lineRule="auto"/>
              <w:rPr>
                <w:sz w:val="24"/>
                <w:szCs w:val="24"/>
              </w:rPr>
            </w:pPr>
            <w:r w:rsidDel="00000000" w:rsidR="00000000" w:rsidRPr="00000000">
              <w:rPr>
                <w:sz w:val="13"/>
                <w:szCs w:val="13"/>
                <w:rtl w:val="0"/>
              </w:rPr>
              <w:t xml:space="preserve">Divulgación financiera total, bajo pena de nulidad. Consérvese archivo de bienes a la fecha del enlace.</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D">
            <w:pPr>
              <w:spacing w:before="180" w:line="340.79999999999995" w:lineRule="auto"/>
              <w:rPr>
                <w:sz w:val="24"/>
                <w:szCs w:val="24"/>
              </w:rPr>
            </w:pPr>
            <w:r w:rsidDel="00000000" w:rsidR="00000000" w:rsidRPr="00000000">
              <w:rPr>
                <w:sz w:val="13"/>
                <w:szCs w:val="13"/>
                <w:rtl w:val="0"/>
              </w:rPr>
              <w:t xml:space="preserve">Sin papeles. Sin registro. Sin edad cierta.</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2E">
            <w:pPr>
              <w:spacing w:before="180" w:line="340.79999999999995" w:lineRule="auto"/>
              <w:rPr>
                <w:sz w:val="24"/>
                <w:szCs w:val="24"/>
              </w:rPr>
            </w:pPr>
            <w:r w:rsidDel="00000000" w:rsidR="00000000" w:rsidRPr="00000000">
              <w:rPr>
                <w:sz w:val="13"/>
                <w:szCs w:val="13"/>
                <w:rtl w:val="0"/>
              </w:rPr>
              <w:t xml:space="preserve">Inscripción en el genealógico según el rango.</w:t>
            </w:r>
            <w:r w:rsidDel="00000000" w:rsidR="00000000" w:rsidRPr="00000000">
              <w:rPr>
                <w:rtl w:val="0"/>
              </w:rPr>
            </w:r>
          </w:p>
        </w:tc>
      </w:tr>
      <w:tr>
        <w:trPr>
          <w:cantSplit w:val="0"/>
          <w:trHeight w:val="1455" w:hRule="atLeast"/>
          <w:tblHeader w:val="0"/>
        </w:trPr>
        <w:tc>
          <w:tcPr>
            <w:tcBorders>
              <w:top w:color="000000" w:space="0" w:sz="2" w:val="single"/>
              <w:left w:color="000000" w:space="0" w:sz="2" w:val="single"/>
              <w:bottom w:color="000000" w:space="0" w:sz="2" w:val="single"/>
              <w:right w:color="000000" w:space="0" w:sz="2" w:val="single"/>
            </w:tcBorders>
            <w:shd w:fill="000000" w:val="clear"/>
            <w:tcMar>
              <w:top w:w="60.0" w:type="dxa"/>
              <w:left w:w="60.0" w:type="dxa"/>
              <w:bottom w:w="60.0" w:type="dxa"/>
              <w:right w:w="60.0" w:type="dxa"/>
            </w:tcMar>
            <w:vAlign w:val="top"/>
          </w:tcPr>
          <w:p w:rsidR="00000000" w:rsidDel="00000000" w:rsidP="00000000" w:rsidRDefault="00000000" w:rsidRPr="00000000" w14:paraId="0000002F">
            <w:pPr>
              <w:spacing w:before="180" w:lineRule="auto"/>
              <w:rPr>
                <w:b w:val="1"/>
                <w:bCs w:val="1"/>
                <w:color w:val="ffffff"/>
                <w:sz w:val="12"/>
                <w:szCs w:val="12"/>
              </w:rPr>
            </w:pPr>
            <w:r w:rsidDel="00000000" w:rsidR="00000000" w:rsidRPr="00000000">
              <w:rPr>
                <w:b w:val="1"/>
                <w:bCs w:val="1"/>
                <w:color w:val="ffffff"/>
                <w:sz w:val="12"/>
                <w:szCs w:val="12"/>
                <w:rtl w:val="0"/>
              </w:rPr>
              <w:t xml:space="preserve">V. Rescisión</w:t>
            </w:r>
          </w:p>
          <w:p w:rsidR="00000000" w:rsidDel="00000000" w:rsidP="00000000" w:rsidRDefault="00000000" w:rsidRPr="00000000" w14:paraId="00000030">
            <w:pPr>
              <w:spacing w:before="180" w:lineRule="auto"/>
              <w:rPr>
                <w:sz w:val="24"/>
                <w:szCs w:val="24"/>
              </w:rPr>
            </w:pPr>
            <w:r w:rsidDel="00000000" w:rsidR="00000000" w:rsidRPr="00000000">
              <w:rPr>
                <w:b w:val="1"/>
                <w:bCs w:val="1"/>
                <w:color w:val="ffffff"/>
                <w:sz w:val="12"/>
                <w:szCs w:val="12"/>
                <w:rtl w:val="0"/>
              </w:rPr>
              <w:t xml:space="preserve">y disposición</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31">
            <w:pPr>
              <w:spacing w:before="180" w:line="340.79999999999995" w:lineRule="auto"/>
              <w:rPr>
                <w:sz w:val="13"/>
                <w:szCs w:val="13"/>
              </w:rPr>
            </w:pPr>
            <w:r w:rsidDel="00000000" w:rsidR="00000000" w:rsidRPr="00000000">
              <w:rPr>
                <w:sz w:val="13"/>
                <w:szCs w:val="13"/>
                <w:rtl w:val="0"/>
              </w:rPr>
              <w:t xml:space="preserve">Transferible y heredable. La declarada «incorregible» se remite a la Banda Occidental.</w:t>
            </w:r>
          </w:p>
          <w:p w:rsidR="00000000" w:rsidDel="00000000" w:rsidP="00000000" w:rsidRDefault="00000000" w:rsidRPr="00000000" w14:paraId="00000032">
            <w:pPr>
              <w:spacing w:before="220" w:line="340.79999999999995" w:lineRule="auto"/>
              <w:rPr>
                <w:sz w:val="10"/>
                <w:szCs w:val="10"/>
              </w:rPr>
            </w:pPr>
            <w:r w:rsidDel="00000000" w:rsidR="00000000" w:rsidRPr="00000000">
              <w:rPr>
                <w:sz w:val="10"/>
                <w:szCs w:val="10"/>
                <w:rtl w:val="0"/>
              </w:rPr>
              <w:t xml:space="preserve">Gertrudis Romero, ANA 1443/16, 1866</w:t>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33">
            <w:pPr>
              <w:spacing w:before="180" w:line="340.79999999999995" w:lineRule="auto"/>
              <w:rPr>
                <w:sz w:val="13"/>
                <w:szCs w:val="13"/>
              </w:rPr>
            </w:pPr>
            <w:r w:rsidDel="00000000" w:rsidR="00000000" w:rsidRPr="00000000">
              <w:rPr>
                <w:sz w:val="13"/>
                <w:szCs w:val="13"/>
                <w:rtl w:val="0"/>
              </w:rPr>
              <w:t xml:space="preserve">Cláusula de caducidad. Reparto según lo pactado. El título y la licencia: no divisibles.</w:t>
            </w:r>
          </w:p>
          <w:p w:rsidR="00000000" w:rsidDel="00000000" w:rsidP="00000000" w:rsidRDefault="00000000" w:rsidRPr="00000000" w14:paraId="00000034">
            <w:pPr>
              <w:spacing w:before="220" w:line="340.79999999999995" w:lineRule="auto"/>
              <w:rPr>
                <w:sz w:val="10"/>
                <w:szCs w:val="10"/>
              </w:rPr>
            </w:pPr>
            <w:r w:rsidDel="00000000" w:rsidR="00000000" w:rsidRPr="00000000">
              <w:rPr>
                <w:sz w:val="10"/>
                <w:szCs w:val="10"/>
                <w:rtl w:val="0"/>
              </w:rPr>
              <w:t xml:space="preserve">Can. Vet. J. 44 (2003)</w:t>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35">
            <w:pPr>
              <w:spacing w:before="180" w:line="340.79999999999995" w:lineRule="auto"/>
              <w:rPr>
                <w:sz w:val="24"/>
                <w:szCs w:val="24"/>
              </w:rPr>
            </w:pPr>
            <w:r w:rsidDel="00000000" w:rsidR="00000000" w:rsidRPr="00000000">
              <w:rPr>
                <w:sz w:val="13"/>
                <w:szCs w:val="13"/>
                <w:rtl w:val="0"/>
              </w:rPr>
              <w:t xml:space="preserve">Devuelta, reemplazada o retenida, según convenga.</w:t>
            </w:r>
            <w:r w:rsidDel="00000000" w:rsidR="00000000" w:rsidRPr="00000000">
              <w:rPr>
                <w:rtl w:val="0"/>
              </w:rPr>
            </w:r>
          </w:p>
        </w:tc>
        <w:tc>
          <w:tcPr>
            <w:tcBorders>
              <w:top w:color="000000" w:space="0" w:sz="2" w:val="single"/>
              <w:left w:color="000000" w:space="0" w:sz="2" w:val="single"/>
              <w:bottom w:color="000000" w:space="0" w:sz="2" w:val="single"/>
              <w:right w:color="000000" w:space="0" w:sz="2" w:val="single"/>
            </w:tcBorders>
            <w:tcMar>
              <w:top w:w="60.0" w:type="dxa"/>
              <w:left w:w="60.0" w:type="dxa"/>
              <w:bottom w:w="60.0" w:type="dxa"/>
              <w:right w:w="60.0" w:type="dxa"/>
            </w:tcMar>
            <w:vAlign w:val="top"/>
          </w:tcPr>
          <w:p w:rsidR="00000000" w:rsidDel="00000000" w:rsidP="00000000" w:rsidRDefault="00000000" w:rsidRPr="00000000" w14:paraId="00000036">
            <w:pPr>
              <w:spacing w:before="180" w:line="340.79999999999995" w:lineRule="auto"/>
              <w:rPr>
                <w:sz w:val="24"/>
                <w:szCs w:val="24"/>
              </w:rPr>
            </w:pPr>
            <w:r w:rsidDel="00000000" w:rsidR="00000000" w:rsidRPr="00000000">
              <w:rPr>
                <w:rFonts w:ascii="Arial Unicode MS" w:cs="Arial Unicode MS" w:eastAsia="Arial Unicode MS" w:hAnsi="Arial Unicode MS"/>
                <w:sz w:val="13"/>
                <w:szCs w:val="13"/>
                <w:rtl w:val="0"/>
              </w:rPr>
              <w:t xml:space="preserve">Repudio conforme a las «siete causas» (七出).</w:t>
            </w:r>
            <w:r w:rsidDel="00000000" w:rsidR="00000000" w:rsidRPr="00000000">
              <w:rPr>
                <w:rtl w:val="0"/>
              </w:rPr>
            </w:r>
          </w:p>
        </w:tc>
      </w:tr>
    </w:tbl>
    <w:p w:rsidR="00000000" w:rsidDel="00000000" w:rsidP="00000000" w:rsidRDefault="00000000" w:rsidRPr="00000000" w14:paraId="00000037">
      <w:pPr>
        <w:spacing w:before="460" w:line="360" w:lineRule="auto"/>
        <w:jc w:val="both"/>
        <w:rPr>
          <w:sz w:val="11"/>
          <w:szCs w:val="11"/>
        </w:rPr>
      </w:pPr>
      <w:r w:rsidDel="00000000" w:rsidR="00000000" w:rsidRPr="00000000">
        <w:rPr>
          <w:b w:val="1"/>
          <w:bCs w:val="1"/>
          <w:sz w:val="11"/>
          <w:szCs w:val="11"/>
          <w:rtl w:val="0"/>
        </w:rPr>
        <w:t xml:space="preserve">Aviso.</w:t>
      </w:r>
      <w:r w:rsidDel="00000000" w:rsidR="00000000" w:rsidRPr="00000000">
        <w:rPr>
          <w:sz w:val="11"/>
          <w:szCs w:val="11"/>
          <w:rtl w:val="0"/>
        </w:rPr>
        <w:t xml:space="preserve"> Los presentes servicios se ofrecen «en el estado en que se encuentran» (</w:t>
      </w:r>
      <w:r w:rsidDel="00000000" w:rsidR="00000000" w:rsidRPr="00000000">
        <w:rPr>
          <w:b w:val="1"/>
          <w:bCs w:val="1"/>
          <w:sz w:val="11"/>
          <w:szCs w:val="11"/>
          <w:rtl w:val="0"/>
        </w:rPr>
        <w:t xml:space="preserve">AS-IS</w:t>
      </w:r>
      <w:r w:rsidDel="00000000" w:rsidR="00000000" w:rsidRPr="00000000">
        <w:rPr>
          <w:sz w:val="11"/>
          <w:szCs w:val="11"/>
          <w:rtl w:val="0"/>
        </w:rPr>
        <w:t xml:space="preserve">), sin garantía de ninguna clase, expresa o implícita. Aluvial del Futuro S.A. no formula representación alguna sobre la exactitud, integridad o naturaleza de lo pactado, ni responde por su uso, ni por la confianza depositada en él, ni por su disponibilidad. La regulación de la conducta se entiende ofrecida como beneficio de la parte regulada. Toda mención de la persona como objeto del contrato se realiza a título meramente administrativo. Las condiciones podrán modificarse en cualquier momento y sin aviso. La lectura del presente documento constituye conocimiento suficiente de sus términos; la conformidad se presume desde la lectura.</w:t>
      </w:r>
    </w:p>
    <w:p w:rsidR="00000000" w:rsidDel="00000000" w:rsidP="00000000" w:rsidRDefault="00000000" w:rsidRPr="00000000" w14:paraId="0000003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spacing w:before="120" w:lineRule="auto"/>
        <w:rPr/>
      </w:pPr>
      <w:r w:rsidDel="00000000" w:rsidR="00000000" w:rsidRPr="00000000">
        <w:rPr>
          <w:sz w:val="12"/>
          <w:szCs w:val="12"/>
          <w:rtl w:val="0"/>
        </w:rPr>
        <w:t xml:space="preserve">Aluvial del Futuro S.A. Un vínculo conforme a norma™</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