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Aluvial del Futuro S.A.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División Patrimonio y Reputación · Ref. PAT-02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Estructuras conforme a norma</w:t>
      </w:r>
    </w:p>
    <w:p w:rsidR="00000000" w:rsidDel="00000000" w:rsidP="00000000" w:rsidRDefault="00000000" w:rsidRPr="00000000" w14:paraId="00000007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pkct27um8hmq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Patrimonio a Resguardo®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Lo que es suyo, fuera de alcance. De la vista, del fisco, de la contraparte, del cónyuge.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 sector llama a esto «planificación patrimonial». La palabra es el producto: nombra un resguardo y calla un ocultamiento. No describimos métodos. Ofrecemos resultados. Lo demás lo aporta el lenguaje. Terminología del propio sector · «asset protection», «wealth structuring», «confidentiality»</w:t>
      </w:r>
    </w:p>
    <w:p w:rsidR="00000000" w:rsidDel="00000000" w:rsidP="00000000" w:rsidRDefault="00000000" w:rsidRPr="00000000" w14:paraId="0000000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n6dez9jkpas6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Líneas de servicio · descritas por resultado, no por método</w:t>
      </w:r>
    </w:p>
    <w:tbl>
      <w:tblPr>
        <w:tblStyle w:val="Table1"/>
        <w:tblW w:w="9360.0" w:type="dxa"/>
        <w:jc w:val="left"/>
        <w:tblLayout w:type="fixed"/>
        <w:tblLook w:val="0600"/>
      </w:tblPr>
      <w:tblGrid>
        <w:gridCol w:w="2754.9814716781366"/>
        <w:gridCol w:w="6605.018528321863"/>
        <w:tblGridChange w:id="0">
          <w:tblGrid>
            <w:gridCol w:w="2754.9814716781366"/>
            <w:gridCol w:w="6605.018528321863"/>
          </w:tblGrid>
        </w:tblGridChange>
      </w:tblGrid>
      <w:tr>
        <w:trPr>
          <w:cantSplit w:val="0"/>
          <w:trHeight w:val="78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Titularidad de confianza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El activo figura a nombre de un tercero. Ausente del inventario conyugal — y del suyo.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Estructura de interés privado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Una fundación posee lo que usted usa. Usted no posee nada; usted disfruta.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Domicilio conveniente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El activo reside donde no se pregunta. La pregunta, allí, no está prevista.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Ajuste entre partes relacionadas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El valor se declara donde conviene declararlo. Nada se mueve; todo se reasigna.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Reputación garantizada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El origen, presentado en su mejor versión. El pasado, editado a satisfacción.</w:t>
            </w:r>
          </w:p>
        </w:tc>
      </w:tr>
    </w:tbl>
    <w:p w:rsidR="00000000" w:rsidDel="00000000" w:rsidP="00000000" w:rsidRDefault="00000000" w:rsidRPr="00000000" w14:paraId="0000001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bmkm1kkec9tn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1ed21ykhpbkd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35o148eyh36h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oe4h2330n3al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o7os9km9y0st" w:id="6"/>
      <w:bookmarkEnd w:id="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Segmentación de clientela · el mismo producto, distinto acceso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Billonario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Fundación propia. Jurisdicción a medida. Abogados en tres países.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Millonario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Sociedad. Titular de confianza. Un contador discreto.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Narco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El mismo producto, sin preguntas, con recargo.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Clase media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La cuenta de un pariente. El auto a nombre de la suegra. La fe.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División hermana de Esposa a la Medida®.</w:t>
      </w:r>
      <w:r w:rsidDel="00000000" w:rsidR="00000000" w:rsidRPr="00000000">
        <w:rPr>
          <w:rtl w:val="0"/>
        </w:rPr>
        <w:t xml:space="preserve"> El mismo catálogo que provee el vínculo provee su ocultamiento. Se contrata la unión en PAT-02 y se resguarda de ella en la misma ventanilla.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Aviso.</w:t>
      </w:r>
      <w:r w:rsidDel="00000000" w:rsidR="00000000" w:rsidRPr="00000000">
        <w:rPr>
          <w:rtl w:val="0"/>
        </w:rPr>
        <w:t xml:space="preserve"> Los presentes servicios se ofrecen «en el estado en que se encuentran» (</w:t>
      </w:r>
      <w:r w:rsidDel="00000000" w:rsidR="00000000" w:rsidRPr="00000000">
        <w:rPr>
          <w:b w:val="1"/>
          <w:bCs w:val="1"/>
          <w:rtl w:val="0"/>
        </w:rPr>
        <w:t xml:space="preserve">AS-IS</w:t>
      </w:r>
      <w:r w:rsidDel="00000000" w:rsidR="00000000" w:rsidRPr="00000000">
        <w:rPr>
          <w:rtl w:val="0"/>
        </w:rPr>
        <w:t xml:space="preserve">), sin garantía de ninguna clase. Aluvial del Futuro S.A. no describe procedimientos, no asesora sobre el cumplimiento de obligaciones fiscales y no formula representación alguna sobre la licitud de su empleo: la planificación se entiende conforme a la normativa aplicable, cualquiera que ésta sea. Toda mención de terceros —cónyuge, fisco, acreedor— se realiza a título meramente administrativo. Las condiciones podrán modificarse en cualquier momento y sin aviso. La conformidad se presume desde la lectura.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